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AC" w:rsidRPr="00D74FAC" w:rsidRDefault="00D74FAC" w:rsidP="00D74FAC">
      <w:pPr>
        <w:shd w:val="clear" w:color="auto" w:fill="FFFFFF"/>
        <w:spacing w:after="195" w:line="450" w:lineRule="atLeast"/>
        <w:outlineLvl w:val="1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bookmarkStart w:id="0" w:name="_GoBack"/>
      <w:r w:rsidRPr="00D74FA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10</w:t>
      </w:r>
      <w:r w:rsidR="001C6038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D74FA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 Proveedores no registrados en SHCP</w:t>
      </w:r>
    </w:p>
    <w:bookmarkEnd w:id="0"/>
    <w:p w:rsidR="004A681D" w:rsidRDefault="004A681D"/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El presente es para informarles que: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8"/>
          <w:szCs w:val="28"/>
        </w:rPr>
        <w:t>1.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Para aquellos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saldos iniciales de proveedores de los cuales no se tienen los datos requeridos para su alta en el SAACG.net</w:t>
      </w:r>
      <w:r>
        <w:rPr>
          <w:rFonts w:ascii="Calibri" w:hAnsi="Calibri" w:cs="Calibri"/>
          <w:color w:val="444444"/>
          <w:sz w:val="23"/>
          <w:szCs w:val="23"/>
        </w:rPr>
        <w:t>, como lo es el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RFC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(debido a que no están dados de alta en la SHCP),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deberán darlos de alta uno por uno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en el sistema bajo el siguiente esquema: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Razón Social: “Nombre del proveedor”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</w:rPr>
        <w:t>RFC:</w:t>
      </w:r>
      <w:r>
        <w:rPr>
          <w:rStyle w:val="apple-converted-space"/>
          <w:rFonts w:ascii="Calibri" w:eastAsiaTheme="majorEastAsia" w:hAnsi="Calibri" w:cs="Calibri"/>
          <w:color w:val="444444"/>
        </w:rPr>
        <w:t> </w:t>
      </w:r>
      <w:r>
        <w:rPr>
          <w:rFonts w:ascii="Calibri" w:hAnsi="Calibri" w:cs="Calibri"/>
          <w:b/>
          <w:bCs/>
          <w:color w:val="444444"/>
        </w:rPr>
        <w:t>X0XX010101000</w:t>
      </w:r>
      <w:r>
        <w:rPr>
          <w:rStyle w:val="apple-converted-space"/>
          <w:rFonts w:ascii="Calibri" w:eastAsiaTheme="majorEastAsia" w:hAnsi="Calibri" w:cs="Calibri"/>
          <w:b/>
          <w:bCs/>
          <w:color w:val="444444"/>
        </w:rPr>
        <w:t> </w:t>
      </w:r>
      <w:r>
        <w:rPr>
          <w:rFonts w:ascii="Calibri" w:hAnsi="Calibri" w:cs="Calibri"/>
          <w:color w:val="444444"/>
        </w:rPr>
        <w:t>(</w:t>
      </w:r>
      <w:r>
        <w:rPr>
          <w:rFonts w:ascii="Calibri" w:hAnsi="Calibri" w:cs="Calibri"/>
          <w:b/>
          <w:bCs/>
          <w:color w:val="444444"/>
        </w:rPr>
        <w:t>será el mismo RFC genérico para todos los casos antes señalado</w:t>
      </w:r>
      <w:r>
        <w:rPr>
          <w:rFonts w:ascii="Calibri" w:hAnsi="Calibri" w:cs="Calibri"/>
          <w:color w:val="444444"/>
        </w:rPr>
        <w:t>s).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</w:rPr>
        <w:t>Domicilio: Sólo en el caso de que no se cuente con éste, deberá utilizar “desconocido”.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</w:rPr>
        <w:t>Teléfono: Sólo en el caso de que no se cuente con éste, deberá utilizar “desconocido”.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8"/>
          <w:szCs w:val="28"/>
        </w:rPr>
        <w:t>2.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 xml:space="preserve">Para aquellas operaciones del presente ejercicio 2014, de las cuales el comprobante no es fiscal (notas de remisión) y son por importes menores y no </w:t>
      </w:r>
      <w:proofErr w:type="gramStart"/>
      <w:r>
        <w:rPr>
          <w:rFonts w:ascii="Calibri" w:hAnsi="Calibri" w:cs="Calibri"/>
          <w:color w:val="444444"/>
          <w:sz w:val="23"/>
          <w:szCs w:val="23"/>
        </w:rPr>
        <w:t>cotidianas</w:t>
      </w:r>
      <w:proofErr w:type="gramEnd"/>
      <w:r>
        <w:rPr>
          <w:rFonts w:ascii="Calibri" w:hAnsi="Calibri" w:cs="Calibri"/>
          <w:color w:val="444444"/>
          <w:sz w:val="23"/>
          <w:szCs w:val="23"/>
        </w:rPr>
        <w:t xml:space="preserve">, se podrá </w:t>
      </w:r>
      <w:proofErr w:type="spellStart"/>
      <w:r>
        <w:rPr>
          <w:rFonts w:ascii="Calibri" w:hAnsi="Calibri" w:cs="Calibri"/>
          <w:color w:val="444444"/>
          <w:sz w:val="23"/>
          <w:szCs w:val="23"/>
        </w:rPr>
        <w:t>aperturar</w:t>
      </w:r>
      <w:proofErr w:type="spellEnd"/>
      <w:r>
        <w:rPr>
          <w:rFonts w:ascii="Calibri" w:hAnsi="Calibri" w:cs="Calibri"/>
          <w:color w:val="444444"/>
          <w:sz w:val="23"/>
          <w:szCs w:val="23"/>
        </w:rPr>
        <w:t xml:space="preserve"> un proveedor global, bajo el siguiente esquema: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 Razón Social: “Proveedor Global con notas varias”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RFC: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X1XX010101000</w:t>
      </w:r>
      <w:r>
        <w:rPr>
          <w:rStyle w:val="apple-converted-space"/>
          <w:rFonts w:ascii="Calibri" w:eastAsiaTheme="majorEastAsia" w:hAnsi="Calibri" w:cs="Calibri"/>
          <w:b/>
          <w:bCs/>
          <w:color w:val="444444"/>
          <w:sz w:val="23"/>
          <w:szCs w:val="23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(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será éste RFC genérico</w:t>
      </w:r>
      <w:r>
        <w:rPr>
          <w:rFonts w:ascii="Calibri" w:hAnsi="Calibri" w:cs="Calibri"/>
          <w:color w:val="444444"/>
          <w:sz w:val="23"/>
          <w:szCs w:val="23"/>
        </w:rPr>
        <w:t>).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Domicilio: “desconocido”.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Teléfono: “desconocido”.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Tipo de Operación: “Otros”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Forma de recibo: “otros sin desglose de IVA”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 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8"/>
          <w:szCs w:val="28"/>
        </w:rPr>
        <w:lastRenderedPageBreak/>
        <w:t>3.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Les recordamos que los comprobantes de las operaciones que realicen con proveedores de bienes y servicios deben reunir los requisitos marcados en los artículos 29 y 29-A del Código Fiscal de la Federación.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444444"/>
          <w:sz w:val="23"/>
          <w:szCs w:val="23"/>
        </w:rPr>
        <w:t>Nota</w:t>
      </w:r>
      <w:r>
        <w:rPr>
          <w:rFonts w:ascii="Calibri" w:hAnsi="Calibri" w:cs="Calibri"/>
          <w:color w:val="444444"/>
          <w:sz w:val="23"/>
          <w:szCs w:val="23"/>
        </w:rPr>
        <w:t>: Los contratistas (proveedores) de obras públicas, deberán darse de alta como tales (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contratista obra pública</w:t>
      </w:r>
      <w:r>
        <w:rPr>
          <w:rFonts w:ascii="Calibri" w:hAnsi="Calibri" w:cs="Calibri"/>
          <w:color w:val="444444"/>
          <w:sz w:val="23"/>
          <w:szCs w:val="23"/>
        </w:rPr>
        <w:t>), a efecto de que el sistema los reconozca como tales y genere las cuentas 2113-0-XXXXXX en las que se capturarán los saldos iniciales, esto se indicará en el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444444"/>
          <w:sz w:val="23"/>
          <w:szCs w:val="23"/>
        </w:rPr>
        <w:t>“tipo”</w:t>
      </w:r>
      <w:r>
        <w:rPr>
          <w:rStyle w:val="apple-converted-space"/>
          <w:rFonts w:ascii="Calibri" w:eastAsiaTheme="majorEastAsia" w:hAnsi="Calibri" w:cs="Calibri"/>
          <w:color w:val="444444"/>
          <w:sz w:val="23"/>
          <w:szCs w:val="23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t>dentro del catálogo de proveedores/beneficiarios (en donde se dan de alta).</w:t>
      </w:r>
    </w:p>
    <w:p w:rsidR="00D74FAC" w:rsidRDefault="00D74FAC" w:rsidP="00D74FAC">
      <w:pPr>
        <w:shd w:val="clear" w:color="auto" w:fill="FFFFFF"/>
        <w:spacing w:line="319" w:lineRule="atLeast"/>
        <w:rPr>
          <w:rFonts w:ascii="Calibri" w:hAnsi="Calibri" w:cs="Calibri"/>
          <w:color w:val="444444"/>
          <w:sz w:val="23"/>
          <w:szCs w:val="23"/>
        </w:rPr>
      </w:pP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Atentamente 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666666"/>
        </w:rPr>
        <w:t> 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Dpto. Análisis Financiero y Presupuestal 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Dir. Auditoría Financiera a Municipios</w:t>
      </w:r>
    </w:p>
    <w:p w:rsidR="00D74FAC" w:rsidRDefault="00D74FAC" w:rsidP="00D74FAC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b/>
          <w:bCs/>
          <w:color w:val="666666"/>
          <w:sz w:val="27"/>
          <w:szCs w:val="27"/>
        </w:rPr>
        <w:t>Auditoría Superior del Estado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433"/>
      </w:tblGrid>
      <w:tr w:rsidR="00D74FAC" w:rsidRPr="00D74FAC" w:rsidTr="00D74FA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D74FAC" w:rsidRPr="00D74FAC" w:rsidRDefault="00D74FAC" w:rsidP="00D74FAC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  <w:r w:rsidRPr="00D74FAC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D74FAC" w:rsidRPr="00D74FAC" w:rsidRDefault="00D74FAC" w:rsidP="00D74FAC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  <w:r w:rsidRPr="00D74F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  <w:t>viernes, 07 de marzo de 2014 </w:t>
            </w:r>
          </w:p>
        </w:tc>
      </w:tr>
    </w:tbl>
    <w:p w:rsidR="00D74FAC" w:rsidRDefault="00D74FAC" w:rsidP="00D74FAC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  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  </w:t>
      </w:r>
    </w:p>
    <w:sectPr w:rsidR="00D74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F45"/>
    <w:multiLevelType w:val="multilevel"/>
    <w:tmpl w:val="8E9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C"/>
    <w:rsid w:val="001C6038"/>
    <w:rsid w:val="004A681D"/>
    <w:rsid w:val="00D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4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7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74FA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74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D7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74FAC"/>
  </w:style>
  <w:style w:type="character" w:styleId="Hipervnculo">
    <w:name w:val="Hyperlink"/>
    <w:basedOn w:val="Fuentedeprrafopredeter"/>
    <w:uiPriority w:val="99"/>
    <w:semiHidden/>
    <w:unhideWhenUsed/>
    <w:rsid w:val="00D74F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4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7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74FA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74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"/>
    <w:rsid w:val="00D7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74FAC"/>
  </w:style>
  <w:style w:type="character" w:styleId="Hipervnculo">
    <w:name w:val="Hyperlink"/>
    <w:basedOn w:val="Fuentedeprrafopredeter"/>
    <w:uiPriority w:val="99"/>
    <w:semiHidden/>
    <w:unhideWhenUsed/>
    <w:rsid w:val="00D74F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38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3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1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74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16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07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33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33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8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02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57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81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3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0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9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72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347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0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50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27991">
                                                      <w:marLeft w:val="0"/>
                                                      <w:marRight w:val="0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5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32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17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3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2014-05-21T22:57:00Z</dcterms:created>
  <dcterms:modified xsi:type="dcterms:W3CDTF">2015-05-28T19:55:00Z</dcterms:modified>
</cp:coreProperties>
</file>